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exact" w:line="264" w:before="0" w:after="120"/>
        <w:ind w:left="0" w:right="0" w:hanging="0"/>
        <w:jc w:val="left"/>
        <w:rPr>
          <w:rFonts w:ascii="Century Gothic" w:hAnsi="Century Gothic" w:eastAsia="Century Gothic" w:cs="Century Gothic"/>
          <w:color w:val="00000A"/>
          <w:spacing w:val="0"/>
          <w:sz w:val="21"/>
          <w:highlight w:val="white"/>
        </w:rPr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08.15pt;height:103.55pt;mso-wrap-distance-right:0pt;mso-wrap-distance-bottom:6pt" filled="t" fillcolor="#FFFFFF" o:ole="">
            <v:imagedata r:id="rId3" o:title=""/>
          </v:shape>
          <o:OLEObject Type="Embed" ProgID="StaticMetafile" ShapeID="ole_rId2" DrawAspect="Content" ObjectID="_1111941983" r:id="rId2"/>
        </w:objec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left"/>
        <w:rPr>
          <w:rFonts w:ascii="Century Gothic" w:hAnsi="Century Gothic" w:eastAsia="Century Gothic" w:cs="Century Gothic"/>
          <w:color w:val="00000A"/>
          <w:spacing w:val="0"/>
          <w:sz w:val="21"/>
          <w:highlight w:val="white"/>
        </w:rPr>
      </w:pPr>
      <w:r>
        <w:rPr>
          <w:rFonts w:eastAsia="Century Gothic" w:cs="Century Gothic" w:ascii="Century Gothic" w:hAnsi="Century Gothic"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SimSun" w:cs="Mangal"/>
          <w:color w:val="00000A"/>
          <w:sz w:val="28"/>
          <w:szCs w:val="28"/>
          <w:lang w:val="pt-BR" w:eastAsia="zh-CN" w:bidi="hi-IN"/>
        </w:rPr>
      </w:pPr>
      <w:r>
        <w:rPr>
          <w:rFonts w:eastAsia="SimSun" w:cs="Mangal" w:ascii="Arial" w:hAnsi="Arial"/>
          <w:color w:val="00000A"/>
          <w:spacing w:val="0"/>
          <w:sz w:val="28"/>
          <w:szCs w:val="28"/>
          <w:shd w:fill="FFFFFF" w:val="clear"/>
          <w:lang w:val="pt-BR" w:eastAsia="zh-CN" w:bidi="hi-IN"/>
        </w:rPr>
        <w:t>Relatório de Ações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SimSun" w:cs="Mangal"/>
          <w:color w:val="00000A"/>
          <w:sz w:val="28"/>
          <w:szCs w:val="28"/>
          <w:lang w:val="pt-BR" w:eastAsia="zh-CN" w:bidi="hi-IN"/>
        </w:rPr>
      </w:pPr>
      <w:r>
        <w:rPr>
          <w:rFonts w:eastAsia="SimSun" w:cs="Mangal" w:ascii="Arial" w:hAnsi="Arial"/>
          <w:color w:val="00000A"/>
          <w:spacing w:val="0"/>
          <w:sz w:val="28"/>
          <w:szCs w:val="28"/>
          <w:shd w:fill="FFFFFF" w:val="clear"/>
          <w:lang w:val="pt-BR" w:eastAsia="zh-CN" w:bidi="hi-IN"/>
        </w:rPr>
        <w:t>CGE – 2024-2025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spacing w:val="0"/>
          <w:shd w:fill="FFFFFF" w:val="clear"/>
        </w:rPr>
      </w:pPr>
      <w:r>
        <w:rPr>
          <w:spacing w:val="0"/>
          <w:shd w:fill="FFFFFF" w:val="clear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SimSun" w:cs="Mangal"/>
          <w:color w:val="00000A"/>
          <w:sz w:val="28"/>
          <w:szCs w:val="28"/>
          <w:lang w:val="pt-BR" w:eastAsia="zh-CN" w:bidi="hi-IN"/>
        </w:rPr>
      </w:pPr>
      <w:r>
        <w:rPr>
          <w:rFonts w:eastAsia="SimSun" w:cs="Mangal" w:ascii="Arial" w:hAnsi="Arial"/>
          <w:color w:val="00000A"/>
          <w:spacing w:val="0"/>
          <w:sz w:val="28"/>
          <w:szCs w:val="28"/>
          <w:shd w:fill="FFFFFF" w:val="clear"/>
          <w:lang w:val="pt-BR" w:eastAsia="zh-CN" w:bidi="hi-IN"/>
        </w:rPr>
        <w:t>Tribunal Regional Eleitoral de Sergipe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SimSun" w:cs="Mangal"/>
          <w:color w:val="00000A"/>
          <w:spacing w:val="0"/>
          <w:sz w:val="24"/>
          <w:szCs w:val="24"/>
          <w:highlight w:val="white"/>
          <w:lang w:val="pt-BR" w:eastAsia="zh-CN" w:bidi="hi-IN"/>
        </w:rPr>
      </w:pPr>
      <w:r>
        <w:rPr>
          <w:rFonts w:eastAsia="SimSun" w:cs="Mangal" w:ascii="Arial" w:hAnsi="Arial"/>
          <w:color w:val="00000A"/>
          <w:spacing w:val="0"/>
          <w:sz w:val="24"/>
          <w:szCs w:val="24"/>
          <w:highlight w:val="white"/>
          <w:lang w:val="pt-BR" w:eastAsia="zh-CN" w:bidi="hi-IN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Century Gothic" w:cs="Century Gothic"/>
          <w:color w:val="00000A"/>
          <w:spacing w:val="0"/>
          <w:sz w:val="35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35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center"/>
        <w:rPr>
          <w:rFonts w:ascii="Arial" w:hAnsi="Arial" w:eastAsia="SimSun" w:cs="Mangal"/>
          <w:color w:val="00000A"/>
          <w:spacing w:val="0"/>
          <w:sz w:val="24"/>
          <w:szCs w:val="24"/>
          <w:shd w:fill="FFFFFF" w:val="clear"/>
          <w:lang w:val="pt-BR" w:eastAsia="zh-CN" w:bidi="hi-IN"/>
        </w:rPr>
      </w:pPr>
      <w:r>
        <w:rPr>
          <w:rFonts w:eastAsia="SimSun" w:cs="Mangal" w:ascii="Arial" w:hAnsi="Arial"/>
          <w:color w:val="00000A"/>
          <w:spacing w:val="0"/>
          <w:sz w:val="24"/>
          <w:szCs w:val="24"/>
          <w:shd w:fill="FFFFFF" w:val="clear"/>
          <w:lang w:val="pt-BR" w:eastAsia="zh-CN" w:bidi="hi-IN"/>
        </w:rPr>
        <w:t>Data: 11/2025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/>
        </w:rPr>
      </w:pPr>
      <w:r>
        <w:rPr>
          <w:rFonts w:eastAsia="Century Gothic" w:cs="Century Gothic" w:ascii="Arial" w:hAnsi="Arial"/>
          <w:color w:val="00000A"/>
          <w:spacing w:val="0"/>
          <w:sz w:val="21"/>
          <w:shd w:fill="FFFFFF" w:val="clear"/>
        </w:rPr>
        <w:t xml:space="preserve"> 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left"/>
        <w:rPr>
          <w:rFonts w:ascii="Arial" w:hAnsi="Arial" w:eastAsia="Century Gothic" w:cs="Century Gothic"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i/>
          <w:i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i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b/>
          <w:color w:val="00000A"/>
          <w:spacing w:val="0"/>
          <w:sz w:val="21"/>
          <w:highlight w:val="white"/>
        </w:rPr>
      </w:pPr>
      <w:r>
        <w:rPr>
          <w:rFonts w:eastAsia="Century Gothic" w:cs="Century Gothic" w:ascii="Arial" w:hAnsi="Arial"/>
          <w:b/>
          <w:color w:val="00000A"/>
          <w:spacing w:val="0"/>
          <w:sz w:val="21"/>
          <w:highlight w:val="white"/>
        </w:rPr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b/>
          <w:color w:val="00000A"/>
          <w:spacing w:val="0"/>
          <w:sz w:val="24"/>
          <w:szCs w:val="24"/>
          <w:highlight w:val="white"/>
        </w:rPr>
      </w:pPr>
      <w:r>
        <w:rPr>
          <w:rFonts w:eastAsia="Century Gothic" w:cs="Century Gothic" w:ascii="Arial" w:hAnsi="Arial"/>
          <w:b/>
          <w:color w:val="00000A"/>
          <w:spacing w:val="0"/>
          <w:sz w:val="24"/>
          <w:szCs w:val="24"/>
          <w:highlight w:val="white"/>
        </w:rPr>
        <w:t>AÇÕES DA COMISSÃO GESTORA DA ESTRATÉGIA 2024-2025</w:t>
      </w:r>
    </w:p>
    <w:p>
      <w:pPr>
        <w:pStyle w:val="Normal"/>
        <w:widowControl w:val="false"/>
        <w:spacing w:lineRule="exact" w:line="264" w:before="0" w:after="120"/>
        <w:ind w:left="0" w:right="0" w:hanging="0"/>
        <w:jc w:val="both"/>
        <w:rPr>
          <w:rFonts w:ascii="Arial" w:hAnsi="Arial" w:eastAsia="Century Gothic" w:cs="Century Gothic"/>
          <w:b/>
          <w:color w:val="00000A"/>
          <w:spacing w:val="0"/>
          <w:sz w:val="24"/>
          <w:szCs w:val="24"/>
          <w:highlight w:val="white"/>
        </w:rPr>
      </w:pPr>
      <w:r>
        <w:rPr>
          <w:rFonts w:eastAsia="Century Gothic" w:cs="Century Gothic" w:ascii="Arial" w:hAnsi="Arial"/>
          <w:b/>
          <w:color w:val="00000A"/>
          <w:spacing w:val="0"/>
          <w:sz w:val="24"/>
          <w:szCs w:val="24"/>
          <w:highlight w:val="white"/>
        </w:rPr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  <w:t>A Comissão Gestora da Estratégia é órgão decisório de alto nível da Administração do TRE-SE, composto pela Presidência e Vice-Presidência do Tribunal, por juízes membros da Corte, pela Diretoria-Geral e por gestores dos macrodesafios, com a secretaria sob responsabilidade da COPEG. A atuação do CGE atua por meio das Reuniões de Análise da Estratégia, oportunidade em que verifica o desempenho das ações estratégicas do Tribunal e decide sobre alterações no planejamento estratégico.</w:t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  <w:t>Em 2024, foram realizadas três Reuniões de Análise da Estratégia (RAE’s):</w:t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  <w:t xml:space="preserve"> – </w:t>
      </w: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  <w:t>1ª RAE (realizada em 7/6/24) – Apresentação da Construção participativa das Metas Nacionais do Judiciário para 2025;</w:t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  <w:t xml:space="preserve"> – </w:t>
      </w: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  <w:t>2ª RAE (realizada em 26/7/24) – Apresentação do Plano de Integridade do TRE/SE;</w:t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  <w:t xml:space="preserve"> – </w:t>
      </w: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  <w:t>2ª RAE (realizada em 30/8/24/24) – Apresentação Programa Eleições para as Eleições Municipais de 2024.</w:t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  <w:t>Em 2025, foi realizada uma Reunião de Análise da Estratégia (RAE):</w:t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  <w:t xml:space="preserve"> – </w:t>
      </w: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  <w:t>1ª RAE (realizada em 6/6/25) – Apresentação da Construção participativa das Metas Nacionais do Judiciário para 2025.</w:t>
      </w:r>
    </w:p>
    <w:p>
      <w:pPr>
        <w:pStyle w:val="Normal"/>
        <w:jc w:val="both"/>
        <w:rPr>
          <w:rFonts w:ascii="Arial" w:hAnsi="Arial" w:eastAsia="SimSun" w:cs="Mangal"/>
          <w:color w:val="00000A"/>
          <w:kern w:val="0"/>
          <w:sz w:val="24"/>
          <w:szCs w:val="24"/>
          <w:lang w:val="pt-BR" w:eastAsia="zh-CN" w:bidi="hi-IN"/>
        </w:rPr>
      </w:pPr>
      <w:r>
        <w:rPr>
          <w:rFonts w:eastAsia="SimSun" w:cs="Mangal" w:ascii="Arial" w:hAnsi="Arial"/>
          <w:color w:val="00000A"/>
          <w:kern w:val="0"/>
          <w:sz w:val="24"/>
          <w:szCs w:val="24"/>
          <w:lang w:val="pt-BR" w:eastAsia="zh-CN" w:bidi="hi-IN"/>
        </w:rPr>
      </w:r>
    </w:p>
    <w:p>
      <w:pPr>
        <w:pStyle w:val="Normal"/>
        <w:jc w:val="both"/>
        <w:rPr>
          <w:rFonts w:ascii="ArialMT" w:hAnsi="ArialMT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ArialMT" w:hAnsi="ArialMT"/>
          <w:b w:val="false"/>
          <w:bCs w:val="false"/>
          <w:i w:val="false"/>
          <w:iCs w:val="false"/>
          <w:sz w:val="24"/>
          <w:szCs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Arial">
    <w:charset w:val="00"/>
    <w:family w:val="roman"/>
    <w:pitch w:val="variable"/>
  </w:font>
  <w:font w:name="Arial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pt-BR"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420</TotalTime>
  <Application>LibreOffice/7.5.9.2$Windows_X86_64 LibreOffice_project/cdeefe45c17511d326101eed8008ac4092f278a9</Application>
  <AppVersion>15.0000</AppVersion>
  <Pages>2</Pages>
  <Words>171</Words>
  <Characters>1009</Characters>
  <CharactersWithSpaces>1182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2025-11-26T09:16:22Z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