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264" w:before="0" w:after="120"/>
        <w:ind w:left="0" w:right="0" w:hanging="0"/>
        <w:jc w:val="left"/>
        <w:rPr>
          <w:rFonts w:ascii="Century Gothic" w:hAnsi="Century Gothic" w:eastAsia="Century Gothic" w:cs="Century Gothic"/>
          <w:color w:val="00000A"/>
          <w:spacing w:val="0"/>
          <w:sz w:val="21"/>
          <w:highlight w:val="white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08.15pt;height:103.55pt;mso-wrap-distance-right:0pt;mso-wrap-distance-bottom:6pt" filled="t" fillcolor="#FFFFFF" o:ole="">
            <v:imagedata r:id="rId3" o:title=""/>
          </v:shape>
          <o:OLEObject Type="Embed" ProgID="StaticMetafile" ShapeID="ole_rId2" DrawAspect="Content" ObjectID="_1878959024" r:id="rId2"/>
        </w:objec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left"/>
        <w:rPr>
          <w:rFonts w:ascii="Century Gothic" w:hAnsi="Century Gothic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Century Gothic" w:hAnsi="Century Gothic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z w:val="28"/>
          <w:szCs w:val="28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8"/>
          <w:szCs w:val="28"/>
          <w:shd w:fill="FFFFFF" w:val="clear"/>
          <w:lang w:val="pt-BR" w:eastAsia="zh-CN" w:bidi="hi-IN"/>
        </w:rPr>
        <w:t>Relatório de Ações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z w:val="28"/>
          <w:szCs w:val="28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8"/>
          <w:szCs w:val="28"/>
          <w:shd w:fill="FFFFFF" w:val="clear"/>
          <w:lang w:val="pt-BR" w:eastAsia="zh-CN" w:bidi="hi-IN"/>
        </w:rPr>
        <w:t>Acessibilidade – 2024-2025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spacing w:val="0"/>
          <w:shd w:fill="FFFFFF" w:val="clear"/>
        </w:rPr>
      </w:pPr>
      <w:r>
        <w:rPr>
          <w:spacing w:val="0"/>
          <w:shd w:fill="FFFFFF" w:val="clear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z w:val="28"/>
          <w:szCs w:val="28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8"/>
          <w:szCs w:val="28"/>
          <w:shd w:fill="FFFFFF" w:val="clear"/>
          <w:lang w:val="pt-BR" w:eastAsia="zh-CN" w:bidi="hi-IN"/>
        </w:rPr>
        <w:t>Tribunal Regional Eleitoral de Sergipe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pacing w:val="0"/>
          <w:sz w:val="24"/>
          <w:szCs w:val="24"/>
          <w:shd w:fill="FFFFFF" w:val="clear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Data: 11/2025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/>
        </w:rPr>
      </w:pPr>
      <w:r>
        <w:rPr>
          <w:rFonts w:eastAsia="Century Gothic" w:cs="Century Gothic" w:ascii="Arial" w:hAnsi="Arial"/>
          <w:color w:val="00000A"/>
          <w:spacing w:val="0"/>
          <w:sz w:val="21"/>
          <w:shd w:fill="FFFFFF" w:val="clear"/>
        </w:rPr>
        <w:t xml:space="preserve"> 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left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  <w:t>AÇÕES DE ACESSIBILIDADE DO TRE SERGIPE EM 2024-2025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  <w:u w:val="single"/>
        </w:rPr>
        <w:t>AÇÕES EM 2024</w:t>
      </w: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  <w:t>: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1) Planejamento para Utilização de Coordenadores de Acessibilidade nas eleições 2024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TRE de Sergipe foi o primeiro no país a utilizar Coordenadores de Acessibilidade em 2008, na 27ª ZE de Aracaju, já com essa designação e com as mesmas tarefas atualmente desenvolvidas nas eleições de 2020 em Sergipe e em outros TREs.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 Sergipe, após a criação desse importante auxiliar, ele foi disponibilizado em todos os locais de votação do Estado já em 2014, o que continua acontecendo até hoje, devido aos resultados positivos relacionados à satisfação dos eleitores.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Como reflexo desse trabalho, em 2016 não houve nenhuma reclamação relacionada à acessibilidade no Estado de Sergipe, em 2018 foi registrada apenas uma demanda em relação ao estacionamento de um dos locais de votação, o que foi corrigido imediatamente pelo Coordenador no local, e em 2020 não houve nenhuma reclamação relacionada à acessibilidade em nenhum local de votação, havendo Coordenadores de Acessibilidade em todos os locais de votação do Estado em 2020.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 reuniões que ocorreram no TSE para preparação das eleições de 2016 e de 2018, o representante do TRE-SE expôs a ideia da utilização dos Coordenadores de Acessibilidade, o que foi adotado por outros Tribunais e atualmente tem orientação do TSE para que seja adotado esse auxiliar por todos os TREs.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>Em razão de ser uma prática pioneira e exitosa em todos os pleitos que foi utilizada na Justiça Eleitoral de Sergipe, houve, conforme previsão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 no Planejamento de Eleições do TRE/SE,</w:t>
      </w:r>
      <w:r>
        <w:rPr>
          <w:rFonts w:ascii="Arial" w:hAnsi="Arial"/>
          <w:color w:val="auto"/>
          <w:sz w:val="24"/>
          <w:szCs w:val="24"/>
        </w:rPr>
        <w:t xml:space="preserve"> da continuidade da utilização dos Coordenadores de Acessibilidade nos locais de votação nas eleições </w:t>
      </w: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>municipais</w:t>
      </w:r>
      <w:r>
        <w:rPr>
          <w:rFonts w:ascii="Arial" w:hAnsi="Arial"/>
          <w:color w:val="auto"/>
          <w:sz w:val="24"/>
          <w:szCs w:val="24"/>
        </w:rPr>
        <w:t xml:space="preserve"> de 2024.</w:t>
      </w:r>
    </w:p>
    <w:p>
      <w:pPr>
        <w:pStyle w:val="Normal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2) Vistorias Programadas de todos os Locais de Votação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TRE-SE possui cronograma de atividades específicas de vistoria visando à acessibilidade em todos os locais de votação, utilizando sistema desenvolvido no TRE-SE, para coleta de dados via APP, com registro de conteúdo em formulário específico, inclusive com registro de georreferenciamento.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 w:eastAsia="SimSun" w:cs="Mangal"/>
          <w:b w:val="false"/>
          <w:bCs w:val="false"/>
          <w:color w:val="00000A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pt-BR" w:eastAsia="zh-CN" w:bidi="hi-IN"/>
        </w:rPr>
        <w:t>As visitas aos locais de votação são feitas também nos anos não eleitorais pelo menos três vezes, para identificar e corrigir problemas de acessibilidade.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 xml:space="preserve">Especificamente no ano 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>de 2024</w:t>
      </w:r>
      <w:r>
        <w:rPr>
          <w:rFonts w:ascii="Arial" w:hAnsi="Arial"/>
          <w:color w:val="auto"/>
          <w:sz w:val="24"/>
          <w:szCs w:val="24"/>
        </w:rPr>
        <w:t xml:space="preserve">, os Cartórios realizaram visitas aos locais de votação, com a realização de 3 vistorias previstas no Planejamento de Eleições, objetivando identificar e corrigir eventuais problemas de acessibilidade, além da realização do registro de georreferenciamento, em relação às eleições </w:t>
      </w: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>municipais</w:t>
      </w:r>
      <w:r>
        <w:rPr>
          <w:rFonts w:ascii="Arial" w:hAnsi="Arial"/>
          <w:color w:val="auto"/>
          <w:sz w:val="24"/>
          <w:szCs w:val="24"/>
        </w:rPr>
        <w:t xml:space="preserve"> de 2024.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3) Continuidade do serviço de Intérpretes de Libras para os Eventos do TRE-SE e Eleições Municipais 2024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sessão de julgamentos do Tribunal Regional Eleitoral de Sergipe (TRE-SE) ocorrida na data de hoje, dia 16 de setembro de 2020, marcou a estreia do uso de intérprete da Língua Brasileira de Sinais (LIBRAS) em todas as manifestações públicas da Corte.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contrato celebrado pelo TRE-SE prevê a utilização de intérprete de LIBRAS em todas as manifestações públicas do Tribunal. Assim, todas as sessões de julgamento, seminários a serem realizados pelo TRE-SE, bem como suas futuras campanhas publicitárias do TRE-SE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passaram a utilizar o</w:t>
      </w:r>
      <w:r>
        <w:rPr>
          <w:rFonts w:ascii="Arial" w:hAnsi="Arial"/>
          <w:sz w:val="24"/>
          <w:szCs w:val="24"/>
        </w:rPr>
        <w:t xml:space="preserve"> mencionado incremento de acessibilidade.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 xml:space="preserve">A utilização do serviço de intérprete da Língua Brasileira de Sinais (LIBRAS) continuou a ser utilizado normalmente durante os anos de 2021, 2022, 2023 e 2024 nos eventos realizados no âmbito 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>TRE-SE, inclusive nos Fóruns anuais da Justiça Eleitoral, iniciativa estratégica prevista no ciclo atual de Planejamento Estratégico do TRE/SE.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Ressalte-se, por oportuno, que o serviço de </w:t>
      </w: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central de atendimento em Libras (Língua Brasileira de Sinais), 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foi colocado à disposição de eleitores(as) </w:t>
      </w: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com deficiência auditiva nas eleições municipais de 2024. 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>O serviço funcionou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 nos </w:t>
      </w: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>dias 6/10 e 27/10/24 (primeiro e segundo turnos das eleições 2024) e possibilitou que os eleitores(as) tirassem dúvidas com os coordenadores de acessibilidade, por intermédio dos intérpretes de Libras (de forma virtual, por videochamada).</w:t>
      </w:r>
    </w:p>
    <w:p>
      <w:pPr>
        <w:pStyle w:val="Normal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</w:r>
    </w:p>
    <w:p>
      <w:pPr>
        <w:pStyle w:val="Normal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  <w:t>4) Aquisição de fones de ouvido para o pleito de 2024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Desde a implementação do áudio na urna eletrônica, o TRE-SE fornece fones de ouvido em todos os locais de votação. Nas seções em que há pessoa cega cadastrada, o fone de ouvido já segue na caixa da urna eletrônica. Outros fones de ouvido ficam com os Coordenadores de Acessibilidade em todos os locais de votação.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 2020, foram adquiridos 600 fones de ouvido para completar a quantidade necessária para as Eleições 2020.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 xml:space="preserve">No Planejamento 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para as eleições </w:t>
      </w: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>municipais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 de </w:t>
      </w:r>
      <w:r>
        <w:rPr>
          <w:rFonts w:ascii="Arial" w:hAnsi="Arial"/>
          <w:color w:val="auto"/>
          <w:sz w:val="24"/>
          <w:szCs w:val="24"/>
        </w:rPr>
        <w:t xml:space="preserve">2024, houve a previsão de aquisição de fones de ouvido. Tal 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solicitação </w:t>
      </w:r>
      <w:r>
        <w:rPr>
          <w:rFonts w:ascii="Arial" w:hAnsi="Arial"/>
          <w:color w:val="auto"/>
          <w:sz w:val="24"/>
          <w:szCs w:val="24"/>
        </w:rPr>
        <w:t>integrou a proposta orçamentária de eleições do TRE/SE.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/>
      </w:pPr>
      <w:r>
        <w:rPr>
          <w:rFonts w:ascii="Arial" w:hAnsi="Arial"/>
          <w:color w:val="auto"/>
          <w:sz w:val="24"/>
          <w:szCs w:val="24"/>
        </w:rPr>
        <w:t>Ocorre que, o quantitativo de fones de ouvidos existentes no almoxarifado (</w:t>
      </w:r>
      <w:r>
        <w:rPr>
          <w:rStyle w:val="Strong"/>
          <w:rFonts w:ascii="Arial" w:hAnsi="Arial"/>
          <w:color w:val="auto"/>
          <w:sz w:val="24"/>
          <w:szCs w:val="24"/>
        </w:rPr>
        <w:t>1750 unidades</w:t>
      </w:r>
      <w:r>
        <w:rPr>
          <w:rFonts w:ascii="Arial" w:hAnsi="Arial"/>
          <w:color w:val="auto"/>
          <w:sz w:val="24"/>
          <w:szCs w:val="24"/>
        </w:rPr>
        <w:t>) supriu a necessidade de atendimento aos locais de votação e seções eleitorais com eleitores cadastrados com PCD Visual, conforme detalhamento fornecido pela STI/SEADA, motivo pelo qual, não houve a necessidade de realizar a aquisição de fones de ouvido para as eleições municipais de 2024.</w:t>
      </w:r>
    </w:p>
    <w:p>
      <w:pPr>
        <w:pStyle w:val="Normal"/>
        <w:jc w:val="both"/>
        <w:rPr>
          <w:rFonts w:eastAsia="SimSun" w:cs="Mangal"/>
          <w:b/>
          <w:color w:val="00000A"/>
          <w:lang w:val="pt-BR" w:eastAsia="zh-CN" w:bidi="hi-IN"/>
        </w:rPr>
      </w:pPr>
      <w:r>
        <w:rPr>
          <w:rFonts w:eastAsia="SimSun" w:cs="Mangal"/>
          <w:b/>
          <w:color w:val="00000A"/>
          <w:lang w:val="pt-BR" w:eastAsia="zh-CN" w:bidi="hi-IN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5) Regulamentação da Acessibilidade Eleitoral através de Resolução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O TRE-SE publica para todas as eleições uma Resolução específica de atos gerais de eleição que também orienta os Cartórios nos procedimentos de acessibilidade. 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 xml:space="preserve">Para as eleições </w:t>
      </w:r>
      <w:r>
        <w:rPr>
          <w:rFonts w:eastAsia="SimSun" w:cs="Mangal" w:ascii="Arial" w:hAnsi="Arial"/>
          <w:color w:val="auto"/>
          <w:kern w:val="0"/>
          <w:sz w:val="24"/>
          <w:szCs w:val="24"/>
          <w:lang w:val="pt-BR" w:eastAsia="zh-CN" w:bidi="hi-IN"/>
        </w:rPr>
        <w:t>municipais</w:t>
      </w:r>
      <w:r>
        <w:rPr>
          <w:rFonts w:ascii="Arial" w:hAnsi="Arial"/>
          <w:color w:val="auto"/>
          <w:sz w:val="24"/>
          <w:szCs w:val="24"/>
        </w:rPr>
        <w:t xml:space="preserve"> de 2024, também foi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 xml:space="preserve">publicada a Resolução </w:t>
      </w:r>
      <w:r>
        <w:rPr>
          <w:rFonts w:eastAsia="SimSun" w:cs="Mangal" w:ascii="Arial" w:hAnsi="Arial"/>
          <w:color w:val="auto"/>
          <w:sz w:val="24"/>
          <w:szCs w:val="24"/>
          <w:lang w:val="pt-BR" w:eastAsia="zh-CN" w:bidi="hi-IN"/>
        </w:rPr>
        <w:t>TRE/SE 59/2024</w:t>
      </w:r>
      <w:r>
        <w:rPr>
          <w:rFonts w:ascii="Arial" w:hAnsi="Arial"/>
          <w:color w:val="auto"/>
          <w:sz w:val="24"/>
          <w:szCs w:val="24"/>
        </w:rPr>
        <w:t>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6) Termo de Cooperação celebrado entre o TRE/SE e o CONSER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O TRE/SE, por intermédio da Presidência da CACIN (Comissão de Acessibilidade e Inclusão), celebrou o Termo de Cooperação 1/2024 com o CONSER (Conselho Estadual de Pessoas com Deficiência e Altas Habilidades em Sergipe), objetivando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4"/>
          <w:szCs w:val="24"/>
        </w:rPr>
        <w:t>viabilizar o acesso aos locais de vota</w:t>
      </w:r>
      <w:r>
        <w:rPr>
          <w:rFonts w:eastAsia="SimSun" w:cs="Mang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t-BR" w:eastAsia="zh-CN" w:bidi="hi-IN"/>
        </w:rPr>
        <w:t>ção pelas pessoas com deficiência e altas habilidades em Aracaju, nas eleições municipais de 2024, por meio das ações definidas no referido Instrumento, conforme detalhamento a seguir: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 w:eastAsia="SimSun" w:cs="Mangal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kern w:val="0"/>
          <w:sz w:val="24"/>
          <w:szCs w:val="24"/>
          <w:lang w:val="pt-BR" w:eastAsia="zh-CN" w:bidi="hi-IN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rFonts w:eastAsia="SimSun" w:cs="Mang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single"/>
          <w:lang w:val="pt-BR" w:eastAsia="zh-CN" w:bidi="hi-IN"/>
        </w:rPr>
        <w:t>Ações sob a responsabilidade do TRE/SE</w:t>
      </w:r>
      <w:r>
        <w:rPr>
          <w:rFonts w:eastAsia="SimSun" w:cs="Mang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t-BR" w:eastAsia="zh-CN" w:bidi="hi-IN"/>
        </w:rPr>
        <w:t>: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 w:eastAsia="SimSun" w:cs="Mangal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kern w:val="0"/>
          <w:sz w:val="24"/>
          <w:szCs w:val="24"/>
          <w:lang w:val="pt-BR" w:eastAsia="zh-CN" w:bidi="hi-IN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eastAsia="SimSun" w:cs="Mangal" w:ascii="ArialMT" w:hAnsi="ArialMT"/>
          <w:color w:val="auto"/>
          <w:kern w:val="0"/>
          <w:sz w:val="24"/>
          <w:szCs w:val="24"/>
          <w:lang w:val="pt-BR" w:eastAsia="zh-CN" w:bidi="hi-IN"/>
        </w:rPr>
        <w:t xml:space="preserve">– </w:t>
      </w:r>
      <w:r>
        <w:rPr>
          <w:rFonts w:eastAsia="SimSun" w:cs="Mangal" w:ascii="ArialMT" w:hAnsi="ArialMT"/>
          <w:color w:val="auto"/>
          <w:kern w:val="0"/>
          <w:sz w:val="24"/>
          <w:szCs w:val="24"/>
          <w:lang w:val="pt-BR" w:eastAsia="zh-CN" w:bidi="hi-IN"/>
        </w:rPr>
        <w:t>Requisitar e disponibilizar ve</w:t>
      </w:r>
      <w:r>
        <w:rPr>
          <w:rFonts w:ascii="ArialMT" w:hAnsi="ArialMT"/>
          <w:color w:val="auto"/>
          <w:sz w:val="24"/>
        </w:rPr>
        <w:t>ículos tipo micro-ônibus e de passeio pertencentes à frota do Estado de Sergipe ou do Município de Aracaju;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34"/>
        <w:jc w:val="both"/>
        <w:rPr>
          <w:color w:val="auto"/>
        </w:rPr>
      </w:pPr>
      <w:r>
        <w:rPr>
          <w:rFonts w:ascii="ArialMT" w:hAnsi="ArialMT"/>
          <w:color w:val="auto"/>
          <w:sz w:val="24"/>
        </w:rPr>
        <w:t xml:space="preserve">– </w:t>
      </w:r>
      <w:r>
        <w:rPr>
          <w:rFonts w:ascii="ArialMT" w:hAnsi="ArialMT"/>
          <w:color w:val="auto"/>
          <w:sz w:val="24"/>
        </w:rPr>
        <w:t>Disponibilizar os dados referentes aos locais de votação ao Conselho de Pessoas com deficiência e altas habilidades em Sergipe;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247"/>
        <w:jc w:val="both"/>
        <w:rPr>
          <w:color w:val="auto"/>
        </w:rPr>
      </w:pPr>
      <w:r>
        <w:rPr>
          <w:rFonts w:ascii="ArialMT" w:hAnsi="ArialMT"/>
          <w:color w:val="auto"/>
          <w:sz w:val="24"/>
        </w:rPr>
        <w:t xml:space="preserve">– </w:t>
      </w:r>
      <w:r>
        <w:rPr>
          <w:rFonts w:ascii="ArialMT" w:hAnsi="ArialMT"/>
          <w:color w:val="auto"/>
          <w:sz w:val="24"/>
        </w:rPr>
        <w:t>Disponibilizar serviços de atendimento por meio dos Coordenadores de Acessibilidade nos locais de votação;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rFonts w:ascii="ArialMT" w:hAnsi="ArialMT"/>
          <w:b w:val="false"/>
          <w:bCs w:val="false"/>
          <w:i w:val="false"/>
          <w:iCs w:val="false"/>
          <w:color w:val="auto"/>
          <w:sz w:val="24"/>
        </w:rPr>
        <w:t xml:space="preserve"> –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4"/>
        </w:rPr>
        <w:t>Orientar as pessoas envolvidas nas atividades relacionadas à acessibilidade.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 w:eastAsia="SimSun" w:cs="Mangal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kern w:val="0"/>
          <w:sz w:val="24"/>
          <w:szCs w:val="24"/>
          <w:lang w:val="pt-BR" w:eastAsia="zh-CN" w:bidi="hi-IN"/>
        </w:rPr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rFonts w:eastAsia="SimSun" w:cs="Mang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single"/>
          <w:lang w:val="pt-BR" w:eastAsia="zh-CN" w:bidi="hi-IN"/>
        </w:rPr>
        <w:t>Ações sob a responsabilidade do CONSER</w:t>
      </w:r>
      <w:r>
        <w:rPr>
          <w:rFonts w:eastAsia="SimSun" w:cs="Mang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t-BR" w:eastAsia="zh-CN" w:bidi="hi-IN"/>
        </w:rPr>
        <w:t>:</w:t>
      </w:r>
    </w:p>
    <w:p>
      <w:pPr>
        <w:pStyle w:val="Normal"/>
        <w:widowControl w:val="false"/>
        <w:bidi w:val="0"/>
        <w:spacing w:before="0" w:after="0"/>
        <w:ind w:left="0" w:right="0" w:firstLine="1134"/>
        <w:jc w:val="both"/>
        <w:rPr>
          <w:rFonts w:ascii="Arial" w:hAnsi="Arial" w:eastAsia="SimSun" w:cs="Mangal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kern w:val="0"/>
          <w:sz w:val="24"/>
          <w:szCs w:val="24"/>
          <w:lang w:val="pt-BR" w:eastAsia="zh-CN" w:bidi="hi-IN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color w:val="auto"/>
        </w:rPr>
      </w:pPr>
      <w:r>
        <w:rPr>
          <w:rFonts w:eastAsia="SimSun" w:cs="Mangal" w:ascii="ArialMT" w:hAnsi="ArialMT"/>
          <w:color w:val="auto"/>
          <w:kern w:val="0"/>
          <w:sz w:val="24"/>
          <w:szCs w:val="24"/>
          <w:lang w:val="pt-BR" w:eastAsia="zh-CN" w:bidi="hi-IN"/>
        </w:rPr>
        <w:t xml:space="preserve">– </w:t>
      </w:r>
      <w:r>
        <w:rPr>
          <w:rFonts w:eastAsia="SimSun" w:cs="Mangal" w:ascii="ArialMT" w:hAnsi="ArialMT"/>
          <w:color w:val="auto"/>
          <w:kern w:val="0"/>
          <w:sz w:val="24"/>
          <w:szCs w:val="24"/>
          <w:lang w:val="pt-BR" w:eastAsia="zh-CN" w:bidi="hi-IN"/>
        </w:rPr>
        <w:t>Disponibilizar o cadastro dos usu</w:t>
      </w:r>
      <w:r>
        <w:rPr>
          <w:rFonts w:ascii="ArialMT" w:hAnsi="ArialMT"/>
          <w:color w:val="auto"/>
          <w:sz w:val="24"/>
        </w:rPr>
        <w:t>ários de transporte público que se enquadram nos critérios de acessibilidade e na legislação em vigor;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color w:val="auto"/>
        </w:rPr>
      </w:pPr>
      <w:r>
        <w:rPr>
          <w:rFonts w:ascii="ArialMT" w:hAnsi="ArialMT"/>
          <w:color w:val="auto"/>
          <w:sz w:val="24"/>
        </w:rPr>
        <w:t xml:space="preserve">– </w:t>
      </w:r>
      <w:r>
        <w:rPr>
          <w:rFonts w:ascii="ArialMT" w:hAnsi="ArialMT"/>
          <w:color w:val="auto"/>
          <w:sz w:val="24"/>
        </w:rPr>
        <w:t>Definir os roteiros do transporte de eleitores com deficiência e altas habilidades que constam do cadastro da CONSER, a partir da análise do cadastro e da logística previamente definida;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color w:val="auto"/>
        </w:rPr>
      </w:pPr>
      <w:r>
        <w:rPr>
          <w:rFonts w:ascii="ArialMT" w:hAnsi="ArialMT"/>
          <w:color w:val="auto"/>
          <w:sz w:val="24"/>
        </w:rPr>
        <w:t xml:space="preserve">– </w:t>
      </w:r>
      <w:r>
        <w:rPr>
          <w:rFonts w:ascii="ArialMT" w:hAnsi="ArialMT"/>
          <w:color w:val="auto"/>
          <w:sz w:val="24"/>
        </w:rPr>
        <w:t xml:space="preserve">Realizar a execução e o controle do serviço de transporte de pessoas com deficiência e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4"/>
        </w:rPr>
        <w:t>altas habilidades.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MT" w:hAnsi="ArialMT"/>
          <w:b w:val="false"/>
          <w:bCs w:val="false"/>
          <w:i w:val="false"/>
          <w:i w:val="false"/>
          <w:iCs w:val="false"/>
          <w:sz w:val="24"/>
        </w:rPr>
      </w:pPr>
      <w:r>
        <w:rPr>
          <w:rFonts w:ascii="ArialMT" w:hAnsi="ArialMT"/>
          <w:b w:val="false"/>
          <w:bCs w:val="false"/>
          <w:i w:val="false"/>
          <w:iCs w:val="false"/>
          <w:sz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MT" w:hAnsi="ArialMT"/>
          <w:b w:val="false"/>
          <w:bCs w:val="false"/>
          <w:i w:val="false"/>
          <w:i w:val="false"/>
          <w:iCs w:val="false"/>
          <w:sz w:val="24"/>
        </w:rPr>
      </w:pPr>
      <w:r>
        <w:rPr>
          <w:rFonts w:ascii="ArialMT" w:hAnsi="ArialMT"/>
          <w:b w:val="false"/>
          <w:bCs w:val="false"/>
          <w:i w:val="false"/>
          <w:iCs w:val="false"/>
          <w:sz w:val="24"/>
        </w:rPr>
      </w:r>
    </w:p>
    <w:p>
      <w:pPr>
        <w:pStyle w:val="Normal"/>
        <w:jc w:val="both"/>
        <w:rPr/>
      </w:pPr>
      <w:r>
        <w:rPr>
          <w:rFonts w:ascii="Arial" w:hAnsi="Arial"/>
          <w:b/>
          <w:color w:val="auto"/>
          <w:sz w:val="24"/>
          <w:szCs w:val="24"/>
        </w:rPr>
        <w:t xml:space="preserve">7) Terceiro Encontro de Acessibilidade e Inclusão da Justiça Eleitoral </w:t>
      </w:r>
      <w:r>
        <w:rPr>
          <w:rFonts w:ascii="Arial" w:hAnsi="Arial"/>
          <w:b/>
          <w:sz w:val="24"/>
          <w:szCs w:val="24"/>
        </w:rPr>
        <w:t xml:space="preserve">e criação de grupo de trabalho para capacitação de Coordenadores de Acessibilidade </w:t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>Nos dias 5 e 6/12/2024, na sede do TSE, ocorreu o 3º Encontro de Acessibilidade e Inclusão da Justiça Eleitoral.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>O encontro objetivou debater propostas e ações que estruturem e fortaleçam a gestão da acessibilidade e da inclusão das pessoas com deficiência na Justiça Eleitoral, promover a integração entre os tribunais e o alinhamento das estratégias regionais à nacional e disseminar boas práticas e resultados de projetos que aprimoram a acessibilidade e a inclusão da pessoa com deficiência em âmbito nacional.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>Na oportunidade, também foi constituído grupo de trabalho para construção do manual de acessibildade da Justiça Eleitoral, objetivando a capacitação de Coordenadores de Acessibilidade para os pleitos vindouros.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>Representando a CACIN/TRE-SE e integrando o grupo de trabalho criado no referido evento, esteve presente o Coordenador de Planejamento, Estratégia e Governança, Marcelo Gerard Almeida de Andrade.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  <w:u w:val="single"/>
        </w:rPr>
        <w:t>AÇÕES EM 2025</w:t>
      </w: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  <w:t>: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MT" w:hAnsi="ArialMT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MT" w:hAnsi="ArialMT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Arial" w:hAnsi="Arial"/>
          <w:b/>
          <w:color w:val="auto"/>
        </w:rPr>
        <w:t>1) Quarto Encontro de Acessibilidade e Inclusão da Justiça Eleitoral</w:t>
      </w:r>
    </w:p>
    <w:p>
      <w:pPr>
        <w:pStyle w:val="Normal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>No dia 19/11/2025, na sede do TSE, ocorreu o 4º Encontro de Acessibilidade e Inclusão da Justiça Eleitoral.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>Pelo TRE/SE, participaram do evento o Secretário da Comissão de Acessibilidade e Inclusão – CACIN, Marcelo Gerard Almeida de Andrade e a Chefe do Núcleo de Sustentabilidade e Acessibilidade – NSA, Caroline Valeriano Damamascena.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>O encontro objetivou debater novas propostas e ações que estruturem e fortaleçam a gestão da acessibilidade e da inclusão das pessoas com deficiência na Justiça Eleitoral, promover a integração entre os tribunais e o alinhamento das estratégias regionais à nacional e disseminar boas práticas e resultados de projetos que aprimoram a acessibilidade e a inclusão da pessoa com deficiência em âmbito nacional.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 w:val="false"/>
          <w:color w:val="auto"/>
          <w:sz w:val="24"/>
          <w:szCs w:val="24"/>
        </w:rPr>
        <w:t>2) Lançamento da página de Acessibilidade da Justiça Eleitoral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 xml:space="preserve">Com o objetivo de tornar o processo eleitoral ainda mais inclusivo, o Tribunal Superior Eleitoral (TSE) lançou, na internet, a </w:t>
      </w:r>
      <w:hyperlink r:id="rId4">
        <w:r>
          <w:rPr>
            <w:rStyle w:val="LinkdaInternet"/>
            <w:rFonts w:ascii="Arial" w:hAnsi="Arial"/>
            <w:b w:val="false"/>
            <w:bCs w:val="false"/>
            <w:color w:val="auto"/>
            <w:sz w:val="24"/>
            <w:szCs w:val="24"/>
          </w:rPr>
          <w:t>Página da Acessibilidade</w:t>
        </w:r>
      </w:hyperlink>
      <w:r>
        <w:rPr>
          <w:rFonts w:ascii="Arial" w:hAnsi="Arial"/>
          <w:b w:val="false"/>
          <w:bCs w:val="false"/>
          <w:color w:val="auto"/>
          <w:sz w:val="24"/>
          <w:szCs w:val="24"/>
        </w:rPr>
        <w:t xml:space="preserve"> (Votar é meu direito. Garantir meu acesso ao voto é dever da Justiça Eleitoral). O site, hospedado no Portal da JE, traz informações para que todas as pessoas – incluindo as com deficiência e/ou mobilidade reduzida – possam exercer seu papel na democracia com autonomia, segurança e dignidade.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</w:rPr>
        <w:t xml:space="preserve">A nova página foi divulgada pelo TRE/SE e é uma iniciativa para reforçar a campanha lançada pelo TSE. O objetivo é incentivar eleitoras e eleitores com deficiência e/ou mobilidade reduzida a informarem sua condição nos sites da Justiça Eleitoral ou diretamente nos cartórios eleitorais. 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1191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https://www.justicaeleitoral.jus.br/acessibilidade-e-inclusao-na-democracia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403</TotalTime>
  <Application>LibreOffice/7.5.9.2$Windows_X86_64 LibreOffice_project/cdeefe45c17511d326101eed8008ac4092f278a9</Application>
  <AppVersion>15.0000</AppVersion>
  <Pages>6</Pages>
  <Words>1463</Words>
  <Characters>8173</Characters>
  <CharactersWithSpaces>9601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2025-11-26T09:14:56Z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